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54" w:rsidRPr="0021385B" w:rsidRDefault="00352113" w:rsidP="0021385B">
      <w:pPr>
        <w:rPr>
          <w:rFonts w:ascii="Comic Sans MS" w:hAnsi="Comic Sans MS"/>
          <w:b/>
        </w:rPr>
      </w:pPr>
      <w:r w:rsidRPr="0021385B">
        <w:rPr>
          <w:rFonts w:ascii="Comic Sans MS" w:hAnsi="Comic Sans MS"/>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-247650</wp:posOffset>
            </wp:positionV>
            <wp:extent cx="514350" cy="542925"/>
            <wp:effectExtent l="19050" t="0" r="0" b="0"/>
            <wp:wrapTight wrapText="bothSides">
              <wp:wrapPolygon edited="0">
                <wp:start x="-800" y="0"/>
                <wp:lineTo x="-800" y="21221"/>
                <wp:lineTo x="21600" y="21221"/>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4350" cy="542925"/>
                    </a:xfrm>
                    <a:prstGeom prst="rect">
                      <a:avLst/>
                    </a:prstGeom>
                  </pic:spPr>
                </pic:pic>
              </a:graphicData>
            </a:graphic>
          </wp:anchor>
        </w:drawing>
      </w:r>
      <w:r w:rsidRPr="0021385B">
        <w:rPr>
          <w:rFonts w:ascii="Comic Sans MS" w:hAnsi="Comic Sans MS"/>
          <w:b/>
        </w:rPr>
        <w:t xml:space="preserve">Year 3 Curriculum Overview: AUTUMN 1 2018  </w:t>
      </w:r>
      <w:r w:rsidR="0021385B">
        <w:rPr>
          <w:rFonts w:ascii="Comic Sans MS" w:hAnsi="Comic Sans MS"/>
          <w:b/>
        </w:rPr>
        <w:t xml:space="preserve">     </w:t>
      </w:r>
      <w:r w:rsidRPr="0021385B">
        <w:rPr>
          <w:rFonts w:ascii="Comic Sans MS" w:hAnsi="Comic Sans MS"/>
          <w:b/>
          <w:highlight w:val="yellow"/>
        </w:rPr>
        <w:t>TOPIC: Healthy Humans</w:t>
      </w:r>
    </w:p>
    <w:tbl>
      <w:tblPr>
        <w:tblStyle w:val="TableGrid"/>
        <w:tblW w:w="15674" w:type="dxa"/>
        <w:tblLook w:val="04A0"/>
      </w:tblPr>
      <w:tblGrid>
        <w:gridCol w:w="5224"/>
        <w:gridCol w:w="5225"/>
        <w:gridCol w:w="5225"/>
      </w:tblGrid>
      <w:tr w:rsidR="00352113" w:rsidRPr="00352113" w:rsidTr="009A34EB">
        <w:trPr>
          <w:trHeight w:val="2686"/>
        </w:trPr>
        <w:tc>
          <w:tcPr>
            <w:tcW w:w="5224" w:type="dxa"/>
          </w:tcPr>
          <w:p w:rsidR="00352113" w:rsidRPr="0021385B" w:rsidRDefault="00352113" w:rsidP="00352113">
            <w:pPr>
              <w:jc w:val="center"/>
              <w:rPr>
                <w:rFonts w:ascii="Comic Sans MS" w:hAnsi="Comic Sans MS"/>
                <w:u w:val="single"/>
              </w:rPr>
            </w:pPr>
            <w:r w:rsidRPr="0021385B">
              <w:rPr>
                <w:rFonts w:ascii="Comic Sans MS" w:hAnsi="Comic Sans MS"/>
                <w:u w:val="single"/>
              </w:rPr>
              <w:t>English</w:t>
            </w:r>
          </w:p>
          <w:p w:rsidR="00352113" w:rsidRPr="009A34EB" w:rsidRDefault="009A34EB" w:rsidP="00352113">
            <w:pPr>
              <w:jc w:val="center"/>
              <w:rPr>
                <w:rFonts w:ascii="Comic Sans MS" w:hAnsi="Comic Sans MS"/>
                <w:i/>
                <w:sz w:val="16"/>
                <w:szCs w:val="16"/>
              </w:rPr>
            </w:pPr>
            <w:r w:rsidRPr="009A34EB">
              <w:rPr>
                <w:rFonts w:ascii="Comic Sans MS" w:hAnsi="Comic Sans MS"/>
                <w:i/>
                <w:sz w:val="16"/>
                <w:szCs w:val="16"/>
              </w:rPr>
              <w:t xml:space="preserve">Our first narrative unit is FABLES. We will enjoy reading lots of fables and discussing their features and themes. We will look at the use of the determiners – </w:t>
            </w:r>
            <w:proofErr w:type="gramStart"/>
            <w:r w:rsidRPr="009A34EB">
              <w:rPr>
                <w:rFonts w:ascii="Comic Sans MS" w:hAnsi="Comic Sans MS"/>
                <w:i/>
                <w:sz w:val="16"/>
                <w:szCs w:val="16"/>
              </w:rPr>
              <w:t>a and</w:t>
            </w:r>
            <w:proofErr w:type="gramEnd"/>
            <w:r w:rsidRPr="009A34EB">
              <w:rPr>
                <w:rFonts w:ascii="Comic Sans MS" w:hAnsi="Comic Sans MS"/>
                <w:i/>
                <w:sz w:val="16"/>
                <w:szCs w:val="16"/>
              </w:rPr>
              <w:t xml:space="preserve"> an; vowels and consonants; and adverbs. We will write our own fable.</w:t>
            </w:r>
          </w:p>
          <w:p w:rsidR="009A34EB" w:rsidRPr="009A34EB" w:rsidRDefault="009A34EB" w:rsidP="00352113">
            <w:pPr>
              <w:jc w:val="center"/>
              <w:rPr>
                <w:rFonts w:ascii="Comic Sans MS" w:hAnsi="Comic Sans MS"/>
                <w:i/>
                <w:sz w:val="16"/>
                <w:szCs w:val="16"/>
              </w:rPr>
            </w:pPr>
            <w:r w:rsidRPr="009A34EB">
              <w:rPr>
                <w:rFonts w:ascii="Comic Sans MS" w:hAnsi="Comic Sans MS"/>
                <w:i/>
                <w:sz w:val="16"/>
                <w:szCs w:val="16"/>
              </w:rPr>
              <w:t>Our next unit will be a poetry unit. Here we will focus on the use of similes and write our own colour poems.</w:t>
            </w:r>
          </w:p>
          <w:p w:rsidR="009A34EB" w:rsidRPr="009A34EB" w:rsidRDefault="009A34EB" w:rsidP="00352113">
            <w:pPr>
              <w:jc w:val="center"/>
              <w:rPr>
                <w:rFonts w:ascii="Comic Sans MS" w:hAnsi="Comic Sans MS"/>
                <w:i/>
                <w:sz w:val="16"/>
                <w:szCs w:val="16"/>
              </w:rPr>
            </w:pPr>
            <w:r w:rsidRPr="009A34EB">
              <w:rPr>
                <w:rFonts w:ascii="Comic Sans MS" w:hAnsi="Comic Sans MS"/>
                <w:i/>
                <w:sz w:val="16"/>
                <w:szCs w:val="16"/>
              </w:rPr>
              <w:t>We will follow the No Nonsense Spelling scheme and learn to read and write year 3 statutory words. We will have regular handwriting practise and work hard on our cursive script.</w:t>
            </w:r>
          </w:p>
          <w:p w:rsidR="00352113" w:rsidRPr="009A34EB" w:rsidRDefault="009A34EB" w:rsidP="009A34EB">
            <w:pPr>
              <w:jc w:val="center"/>
              <w:rPr>
                <w:rFonts w:ascii="Comic Sans MS" w:hAnsi="Comic Sans MS"/>
                <w:sz w:val="18"/>
                <w:szCs w:val="18"/>
              </w:rPr>
            </w:pPr>
            <w:r w:rsidRPr="009A34EB">
              <w:rPr>
                <w:rFonts w:ascii="Comic Sans MS" w:hAnsi="Comic Sans MS"/>
                <w:i/>
                <w:sz w:val="16"/>
                <w:szCs w:val="16"/>
              </w:rPr>
              <w:t>Each week the children will have a guided reading session to develop their reading skills.</w:t>
            </w:r>
          </w:p>
        </w:tc>
        <w:tc>
          <w:tcPr>
            <w:tcW w:w="5225" w:type="dxa"/>
          </w:tcPr>
          <w:p w:rsidR="00352113" w:rsidRDefault="00352113" w:rsidP="00352113">
            <w:pPr>
              <w:jc w:val="center"/>
              <w:rPr>
                <w:rFonts w:ascii="Comic Sans MS" w:hAnsi="Comic Sans MS"/>
                <w:u w:val="single"/>
              </w:rPr>
            </w:pPr>
            <w:r w:rsidRPr="0021385B">
              <w:rPr>
                <w:rFonts w:ascii="Comic Sans MS" w:hAnsi="Comic Sans MS"/>
                <w:u w:val="single"/>
              </w:rPr>
              <w:t>Maths</w:t>
            </w:r>
          </w:p>
          <w:p w:rsidR="0034069C" w:rsidRPr="00B65F55" w:rsidRDefault="0034069C" w:rsidP="0034069C">
            <w:pPr>
              <w:rPr>
                <w:rFonts w:ascii="Comic Sans MS" w:hAnsi="Comic Sans MS"/>
                <w:i/>
              </w:rPr>
            </w:pPr>
            <w:r w:rsidRPr="00B65F55">
              <w:rPr>
                <w:rFonts w:ascii="Comic Sans MS" w:hAnsi="Comic Sans MS"/>
                <w:i/>
              </w:rPr>
              <w:t xml:space="preserve">We follow the </w:t>
            </w:r>
            <w:r w:rsidR="00B65F55" w:rsidRPr="00B65F55">
              <w:rPr>
                <w:rFonts w:ascii="Comic Sans MS" w:hAnsi="Comic Sans MS"/>
                <w:i/>
              </w:rPr>
              <w:t xml:space="preserve">scheme ‘Maths – No problem!’ </w:t>
            </w:r>
            <w:r w:rsidRPr="00B65F55">
              <w:rPr>
                <w:rFonts w:ascii="Comic Sans MS" w:hAnsi="Comic Sans MS"/>
                <w:i/>
              </w:rPr>
              <w:t>which uses the Concrete – Pictorial – Abstract (C-P-A) approach. Firstly, we look at numbers to 1000: counting in hundreds, tens and ones; place value; comparing and ordering numbers; counting in 50s;</w:t>
            </w:r>
            <w:r w:rsidR="00B65F55" w:rsidRPr="00B65F55">
              <w:rPr>
                <w:rFonts w:ascii="Comic Sans MS" w:hAnsi="Comic Sans MS"/>
                <w:i/>
              </w:rPr>
              <w:t xml:space="preserve"> </w:t>
            </w:r>
            <w:r w:rsidRPr="00B65F55">
              <w:rPr>
                <w:rFonts w:ascii="Comic Sans MS" w:hAnsi="Comic Sans MS"/>
                <w:i/>
              </w:rPr>
              <w:t>number patterns and counting in 4s and 8s. We will then move onto addition and subtraction.</w:t>
            </w:r>
          </w:p>
        </w:tc>
        <w:tc>
          <w:tcPr>
            <w:tcW w:w="5225" w:type="dxa"/>
          </w:tcPr>
          <w:p w:rsidR="00352113" w:rsidRDefault="00352113" w:rsidP="00352113">
            <w:pPr>
              <w:jc w:val="center"/>
              <w:rPr>
                <w:rFonts w:ascii="Comic Sans MS" w:hAnsi="Comic Sans MS"/>
                <w:u w:val="single"/>
              </w:rPr>
            </w:pPr>
            <w:r w:rsidRPr="0021385B">
              <w:rPr>
                <w:rFonts w:ascii="Comic Sans MS" w:hAnsi="Comic Sans MS"/>
                <w:u w:val="single"/>
              </w:rPr>
              <w:t>Science</w:t>
            </w:r>
          </w:p>
          <w:p w:rsidR="00E1224E" w:rsidRPr="00E1224E" w:rsidRDefault="00E1224E" w:rsidP="00E1224E">
            <w:pPr>
              <w:autoSpaceDE w:val="0"/>
              <w:autoSpaceDN w:val="0"/>
              <w:adjustRightInd w:val="0"/>
              <w:rPr>
                <w:rFonts w:ascii="Comic Sans MS" w:hAnsi="Comic Sans MS" w:cs="ArialMT"/>
                <w:i/>
                <w:sz w:val="18"/>
                <w:szCs w:val="18"/>
              </w:rPr>
            </w:pPr>
            <w:r w:rsidRPr="00E1224E">
              <w:rPr>
                <w:rFonts w:ascii="Comic Sans MS" w:hAnsi="Comic Sans MS"/>
                <w:i/>
                <w:sz w:val="18"/>
                <w:szCs w:val="18"/>
              </w:rPr>
              <w:t>Our unit is ‘Eating and Digestion’. The children will</w:t>
            </w:r>
            <w:r w:rsidRPr="00E1224E">
              <w:rPr>
                <w:rFonts w:ascii="Comic Sans MS" w:hAnsi="Comic Sans MS" w:cs="ArialMT"/>
                <w:i/>
                <w:sz w:val="18"/>
                <w:szCs w:val="18"/>
              </w:rPr>
              <w:t xml:space="preserve"> identify and classify carnivores, herbivores and omnivores; construct and interpret a variety of food chains; identify the different types of teeth in humans and</w:t>
            </w:r>
          </w:p>
          <w:p w:rsidR="00E1224E" w:rsidRPr="00AA7735" w:rsidRDefault="00E1224E" w:rsidP="00E1224E">
            <w:pPr>
              <w:autoSpaceDE w:val="0"/>
              <w:autoSpaceDN w:val="0"/>
              <w:adjustRightInd w:val="0"/>
              <w:rPr>
                <w:rFonts w:ascii="Comic Sans MS" w:hAnsi="Comic Sans MS" w:cs="ArialMT"/>
                <w:i/>
                <w:sz w:val="18"/>
                <w:szCs w:val="18"/>
              </w:rPr>
            </w:pPr>
            <w:proofErr w:type="gramStart"/>
            <w:r w:rsidRPr="00E1224E">
              <w:rPr>
                <w:rFonts w:ascii="Comic Sans MS" w:hAnsi="Comic Sans MS" w:cs="ArialMT"/>
                <w:i/>
                <w:sz w:val="18"/>
                <w:szCs w:val="18"/>
              </w:rPr>
              <w:t>identify</w:t>
            </w:r>
            <w:proofErr w:type="gramEnd"/>
            <w:r w:rsidRPr="00E1224E">
              <w:rPr>
                <w:rFonts w:ascii="Comic Sans MS" w:hAnsi="Comic Sans MS" w:cs="ArialMT"/>
                <w:i/>
                <w:sz w:val="18"/>
                <w:szCs w:val="18"/>
              </w:rPr>
              <w:t xml:space="preserve"> their functions; explore different ways of keeping teeth healthy; investigate how the digestive system works; be able to describe the functions of the</w:t>
            </w:r>
            <w:r w:rsidR="006E6278">
              <w:rPr>
                <w:rFonts w:ascii="Comic Sans MS" w:hAnsi="Comic Sans MS" w:cs="ArialMT"/>
                <w:i/>
                <w:sz w:val="18"/>
                <w:szCs w:val="18"/>
              </w:rPr>
              <w:t xml:space="preserve"> </w:t>
            </w:r>
            <w:r w:rsidRPr="00E1224E">
              <w:rPr>
                <w:rFonts w:ascii="Comic Sans MS" w:hAnsi="Comic Sans MS" w:cs="ArialMT"/>
                <w:i/>
                <w:sz w:val="18"/>
                <w:szCs w:val="18"/>
              </w:rPr>
              <w:t>basic parts of the digestive system.</w:t>
            </w:r>
            <w:r>
              <w:rPr>
                <w:rFonts w:ascii="Comic Sans MS" w:hAnsi="Comic Sans MS" w:cs="ArialMT"/>
                <w:i/>
                <w:sz w:val="18"/>
                <w:szCs w:val="18"/>
              </w:rPr>
              <w:t xml:space="preserve"> We will have a visit from a dentist.</w:t>
            </w:r>
          </w:p>
        </w:tc>
      </w:tr>
      <w:tr w:rsidR="00352113" w:rsidRPr="00352113" w:rsidTr="009A34EB">
        <w:trPr>
          <w:trHeight w:val="2921"/>
        </w:trPr>
        <w:tc>
          <w:tcPr>
            <w:tcW w:w="5224" w:type="dxa"/>
          </w:tcPr>
          <w:p w:rsidR="00352113" w:rsidRDefault="00352113" w:rsidP="00352113">
            <w:pPr>
              <w:jc w:val="center"/>
              <w:rPr>
                <w:rFonts w:ascii="Comic Sans MS" w:hAnsi="Comic Sans MS"/>
                <w:u w:val="single"/>
              </w:rPr>
            </w:pPr>
            <w:r w:rsidRPr="0021385B">
              <w:rPr>
                <w:rFonts w:ascii="Comic Sans MS" w:hAnsi="Comic Sans MS"/>
                <w:u w:val="single"/>
              </w:rPr>
              <w:t>Computing</w:t>
            </w:r>
          </w:p>
          <w:p w:rsidR="00775994" w:rsidRDefault="00775994" w:rsidP="00352113">
            <w:pPr>
              <w:jc w:val="center"/>
              <w:rPr>
                <w:rFonts w:ascii="Comic Sans MS" w:hAnsi="Comic Sans MS"/>
                <w:i/>
                <w:sz w:val="20"/>
                <w:szCs w:val="20"/>
              </w:rPr>
            </w:pPr>
            <w:r w:rsidRPr="00775994">
              <w:rPr>
                <w:rFonts w:ascii="Comic Sans MS" w:hAnsi="Comic Sans MS"/>
                <w:i/>
                <w:sz w:val="20"/>
                <w:szCs w:val="20"/>
              </w:rPr>
              <w:t>Our unit is ‘We are presenters’.</w:t>
            </w:r>
          </w:p>
          <w:p w:rsidR="00775994" w:rsidRPr="00775994" w:rsidRDefault="00775994" w:rsidP="00352113">
            <w:pPr>
              <w:jc w:val="center"/>
              <w:rPr>
                <w:rFonts w:ascii="Comic Sans MS" w:hAnsi="Comic Sans MS"/>
                <w:i/>
                <w:sz w:val="20"/>
                <w:szCs w:val="20"/>
              </w:rPr>
            </w:pPr>
            <w:r w:rsidRPr="00775994">
              <w:rPr>
                <w:rFonts w:ascii="Comic Sans MS" w:hAnsi="Comic Sans MS"/>
                <w:i/>
                <w:sz w:val="20"/>
                <w:szCs w:val="20"/>
              </w:rPr>
              <w:t xml:space="preserve">The children </w:t>
            </w:r>
            <w:r>
              <w:rPr>
                <w:rFonts w:ascii="Comic Sans MS" w:hAnsi="Comic Sans MS"/>
                <w:i/>
                <w:sz w:val="20"/>
                <w:szCs w:val="20"/>
              </w:rPr>
              <w:t>will look at what makes a good presenter; edit videos in movie maker; create a script to present the video; add a narration to the video and finally evaluate and present their video.</w:t>
            </w:r>
          </w:p>
          <w:p w:rsidR="00775994" w:rsidRPr="00775994" w:rsidRDefault="00775994" w:rsidP="00352113">
            <w:pPr>
              <w:jc w:val="center"/>
              <w:rPr>
                <w:rFonts w:ascii="Comic Sans MS" w:hAnsi="Comic Sans MS"/>
                <w:b/>
                <w:i/>
                <w:sz w:val="20"/>
                <w:szCs w:val="20"/>
              </w:rPr>
            </w:pPr>
          </w:p>
        </w:tc>
        <w:tc>
          <w:tcPr>
            <w:tcW w:w="5225" w:type="dxa"/>
          </w:tcPr>
          <w:p w:rsidR="00352113" w:rsidRDefault="00352113" w:rsidP="0021385B">
            <w:pPr>
              <w:jc w:val="center"/>
              <w:rPr>
                <w:rFonts w:ascii="Comic Sans MS" w:hAnsi="Comic Sans MS"/>
                <w:u w:val="single"/>
              </w:rPr>
            </w:pPr>
            <w:r w:rsidRPr="0021385B">
              <w:rPr>
                <w:rFonts w:ascii="Comic Sans MS" w:hAnsi="Comic Sans MS"/>
                <w:u w:val="single"/>
              </w:rPr>
              <w:t>Geography</w:t>
            </w:r>
            <w:r w:rsidR="0021385B">
              <w:rPr>
                <w:rFonts w:ascii="Comic Sans MS" w:hAnsi="Comic Sans MS"/>
                <w:u w:val="single"/>
              </w:rPr>
              <w:t xml:space="preserve"> or </w:t>
            </w:r>
            <w:r w:rsidRPr="0021385B">
              <w:rPr>
                <w:rFonts w:ascii="Comic Sans MS" w:hAnsi="Comic Sans MS"/>
                <w:u w:val="single"/>
              </w:rPr>
              <w:t>History</w:t>
            </w:r>
          </w:p>
          <w:p w:rsidR="00DF1630" w:rsidRP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i/>
                <w:sz w:val="16"/>
                <w:szCs w:val="16"/>
              </w:rPr>
              <w:t xml:space="preserve">This half term we will follow the Geography unit ‘Where does food come from?’ The children will </w:t>
            </w:r>
            <w:r w:rsidRPr="00DF1630">
              <w:rPr>
                <w:rFonts w:ascii="Comic Sans MS" w:hAnsi="Comic Sans MS" w:cs="ArialMT"/>
                <w:i/>
                <w:sz w:val="16"/>
                <w:szCs w:val="16"/>
              </w:rPr>
              <w:t>understand that the food we eat comes from many different places around the world;</w:t>
            </w:r>
          </w:p>
          <w:p w:rsidR="00DF1630" w:rsidRP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cs="ArialMT"/>
                <w:i/>
                <w:sz w:val="16"/>
                <w:szCs w:val="16"/>
              </w:rPr>
              <w:t>know how land in temperate climate zones is used</w:t>
            </w:r>
          </w:p>
          <w:p w:rsid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cs="ArialMT"/>
                <w:i/>
                <w:sz w:val="16"/>
                <w:szCs w:val="16"/>
              </w:rPr>
              <w:t>to produce food; know how land in tropical climate zones is used to produce food; describe the way in which land in tropical biomes is being changed to enable more food to be produced; explore how food is produced in Mediterranean climate zones; explain how land is used to produce food in the United Kingdom; understand and describe the trade links that enable food from around the world to be sold in the United Kingdom.</w:t>
            </w:r>
          </w:p>
          <w:p w:rsidR="0032123E" w:rsidRPr="00DF1630" w:rsidRDefault="0032123E" w:rsidP="00DF1630">
            <w:pPr>
              <w:autoSpaceDE w:val="0"/>
              <w:autoSpaceDN w:val="0"/>
              <w:adjustRightInd w:val="0"/>
              <w:rPr>
                <w:rFonts w:ascii="Comic Sans MS" w:hAnsi="Comic Sans MS" w:cs="ArialMT"/>
                <w:i/>
                <w:sz w:val="16"/>
                <w:szCs w:val="16"/>
              </w:rPr>
            </w:pPr>
          </w:p>
        </w:tc>
        <w:tc>
          <w:tcPr>
            <w:tcW w:w="5225" w:type="dxa"/>
          </w:tcPr>
          <w:p w:rsidR="0032123E" w:rsidRDefault="0032123E" w:rsidP="0032123E">
            <w:pPr>
              <w:jc w:val="center"/>
              <w:rPr>
                <w:rFonts w:ascii="Comic Sans MS" w:hAnsi="Comic Sans MS"/>
                <w:u w:val="single"/>
              </w:rPr>
            </w:pPr>
            <w:r w:rsidRPr="0021385B">
              <w:rPr>
                <w:rFonts w:ascii="Comic Sans MS" w:hAnsi="Comic Sans MS"/>
                <w:u w:val="single"/>
              </w:rPr>
              <w:t>RE</w:t>
            </w:r>
          </w:p>
          <w:p w:rsidR="0032123E" w:rsidRPr="00B65F55" w:rsidRDefault="0032123E" w:rsidP="0032123E">
            <w:pPr>
              <w:jc w:val="center"/>
              <w:rPr>
                <w:rFonts w:ascii="Comic Sans MS" w:hAnsi="Comic Sans MS" w:cstheme="minorHAnsi"/>
                <w:bCs/>
                <w:i/>
                <w:sz w:val="16"/>
                <w:szCs w:val="16"/>
              </w:rPr>
            </w:pPr>
            <w:bookmarkStart w:id="0" w:name="_GoBack"/>
            <w:r w:rsidRPr="00B65F55">
              <w:rPr>
                <w:rFonts w:ascii="Comic Sans MS" w:hAnsi="Comic Sans MS"/>
                <w:i/>
                <w:sz w:val="16"/>
                <w:szCs w:val="16"/>
              </w:rPr>
              <w:t xml:space="preserve">Our unit is Harvest in which we will </w:t>
            </w:r>
            <w:r w:rsidRPr="00B65F55">
              <w:rPr>
                <w:rFonts w:ascii="Comic Sans MS" w:hAnsi="Comic Sans MS" w:cstheme="minorHAnsi"/>
                <w:i/>
                <w:sz w:val="16"/>
                <w:szCs w:val="16"/>
              </w:rPr>
              <w:t>explore further the meaning and purpose of Harvest Festival celebrations building on knowledge from KS1. The children will learn that harvest has been celebrated for thousands of years and it is celebrated by people of all faiths and none. We will know that harvest is mentioned throughout the Old Testament and that there is a connection between Christian belief/behaviour in relation to celebrating the harvest. The children will be able to</w:t>
            </w:r>
            <w:r w:rsidRPr="00B65F55">
              <w:rPr>
                <w:rFonts w:ascii="Comic Sans MS" w:hAnsi="Comic Sans MS" w:cstheme="minorHAnsi"/>
                <w:bCs/>
                <w:i/>
                <w:sz w:val="16"/>
                <w:szCs w:val="16"/>
              </w:rPr>
              <w:t xml:space="preserve"> describe the traditional content of Christian Harvest Festival services and explain why Christians celebrate harvest. Finally, the children will be able to describe and explain the Jewish festival of Sukkot.</w:t>
            </w:r>
            <w:bookmarkEnd w:id="0"/>
          </w:p>
        </w:tc>
      </w:tr>
      <w:tr w:rsidR="00352113" w:rsidRPr="00352113" w:rsidTr="009A34EB">
        <w:trPr>
          <w:trHeight w:val="2363"/>
        </w:trPr>
        <w:tc>
          <w:tcPr>
            <w:tcW w:w="5224" w:type="dxa"/>
          </w:tcPr>
          <w:p w:rsidR="00352113" w:rsidRDefault="00352113" w:rsidP="00352113">
            <w:pPr>
              <w:jc w:val="center"/>
              <w:rPr>
                <w:rFonts w:ascii="Comic Sans MS" w:hAnsi="Comic Sans MS"/>
                <w:u w:val="single"/>
              </w:rPr>
            </w:pPr>
            <w:r w:rsidRPr="0021385B">
              <w:rPr>
                <w:rFonts w:ascii="Comic Sans MS" w:hAnsi="Comic Sans MS"/>
                <w:u w:val="single"/>
              </w:rPr>
              <w:t>French</w:t>
            </w:r>
            <w:r w:rsidR="00BF3D9B">
              <w:rPr>
                <w:rFonts w:ascii="Comic Sans MS" w:hAnsi="Comic Sans MS"/>
                <w:u w:val="single"/>
              </w:rPr>
              <w:t xml:space="preserve"> (Mrs Feeney)</w:t>
            </w:r>
          </w:p>
          <w:p w:rsidR="00BF3D9B" w:rsidRPr="00BF3D9B" w:rsidRDefault="00BF3D9B" w:rsidP="00352113">
            <w:pPr>
              <w:jc w:val="center"/>
              <w:rPr>
                <w:rFonts w:ascii="Comic Sans MS" w:hAnsi="Comic Sans MS"/>
                <w:b/>
                <w:sz w:val="20"/>
                <w:szCs w:val="20"/>
              </w:rPr>
            </w:pPr>
            <w:proofErr w:type="spellStart"/>
            <w:r w:rsidRPr="00BF3D9B">
              <w:rPr>
                <w:rFonts w:ascii="Comic Sans MS" w:hAnsi="Comic Sans MS"/>
                <w:b/>
                <w:sz w:val="20"/>
                <w:szCs w:val="20"/>
              </w:rPr>
              <w:t>Rigolo</w:t>
            </w:r>
            <w:proofErr w:type="spellEnd"/>
            <w:r w:rsidRPr="00BF3D9B">
              <w:rPr>
                <w:rFonts w:ascii="Comic Sans MS" w:hAnsi="Comic Sans MS"/>
                <w:b/>
                <w:sz w:val="20"/>
                <w:szCs w:val="20"/>
              </w:rPr>
              <w:t xml:space="preserve"> 1: Unit 1 Bonjour</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Saying hello and goodbye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Asking and saying your name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Asking and saying how you are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Nouns (musical instruments)</w:t>
            </w:r>
          </w:p>
          <w:p w:rsidR="00352113" w:rsidRPr="00BF3D9B" w:rsidRDefault="00BF3D9B" w:rsidP="00BF3D9B">
            <w:pPr>
              <w:jc w:val="center"/>
              <w:rPr>
                <w:rFonts w:ascii="Comic Sans MS" w:hAnsi="Comic Sans MS"/>
                <w:i/>
                <w:sz w:val="20"/>
                <w:szCs w:val="20"/>
              </w:rPr>
            </w:pPr>
            <w:r w:rsidRPr="00BF3D9B">
              <w:rPr>
                <w:rFonts w:ascii="Comic Sans MS" w:hAnsi="Comic Sans MS"/>
                <w:i/>
                <w:sz w:val="20"/>
                <w:szCs w:val="20"/>
              </w:rPr>
              <w:t>Numbers 1-10</w:t>
            </w:r>
          </w:p>
          <w:p w:rsidR="00352113" w:rsidRPr="00352113" w:rsidRDefault="00352113" w:rsidP="00352113">
            <w:pPr>
              <w:jc w:val="center"/>
              <w:rPr>
                <w:rFonts w:ascii="Comic Sans MS" w:hAnsi="Comic Sans MS"/>
              </w:rPr>
            </w:pPr>
          </w:p>
        </w:tc>
        <w:tc>
          <w:tcPr>
            <w:tcW w:w="5225" w:type="dxa"/>
          </w:tcPr>
          <w:p w:rsidR="00AA7735" w:rsidRDefault="0032123E" w:rsidP="0032123E">
            <w:pPr>
              <w:jc w:val="center"/>
              <w:rPr>
                <w:rFonts w:ascii="Comic Sans MS" w:hAnsi="Comic Sans MS" w:cstheme="minorHAnsi"/>
                <w:bCs/>
                <w:u w:val="single"/>
              </w:rPr>
            </w:pPr>
            <w:r w:rsidRPr="0032123E">
              <w:rPr>
                <w:rFonts w:ascii="Comic Sans MS" w:hAnsi="Comic Sans MS" w:cstheme="minorHAnsi"/>
                <w:bCs/>
                <w:u w:val="single"/>
              </w:rPr>
              <w:t>PE</w:t>
            </w:r>
          </w:p>
          <w:p w:rsidR="000A0D5F" w:rsidRDefault="000A0D5F" w:rsidP="0032123E">
            <w:pPr>
              <w:jc w:val="center"/>
              <w:rPr>
                <w:rFonts w:ascii="Comic Sans MS" w:hAnsi="Comic Sans MS" w:cstheme="minorHAnsi"/>
                <w:bCs/>
              </w:rPr>
            </w:pPr>
            <w:r w:rsidRPr="000A0D5F">
              <w:rPr>
                <w:rFonts w:ascii="Comic Sans MS" w:hAnsi="Comic Sans MS" w:cstheme="minorHAnsi"/>
                <w:bCs/>
              </w:rPr>
              <w:t xml:space="preserve">Games – </w:t>
            </w:r>
            <w:r w:rsidR="0025060C">
              <w:rPr>
                <w:rFonts w:ascii="Comic Sans MS" w:hAnsi="Comic Sans MS" w:cstheme="minorHAnsi"/>
                <w:bCs/>
              </w:rPr>
              <w:t>Invasion Games (</w:t>
            </w:r>
            <w:r w:rsidRPr="000A0D5F">
              <w:rPr>
                <w:rFonts w:ascii="Comic Sans MS" w:hAnsi="Comic Sans MS" w:cstheme="minorHAnsi"/>
                <w:bCs/>
              </w:rPr>
              <w:t>Mrs Feeney</w:t>
            </w:r>
            <w:r w:rsidR="0025060C">
              <w:rPr>
                <w:rFonts w:ascii="Comic Sans MS" w:hAnsi="Comic Sans MS" w:cstheme="minorHAnsi"/>
                <w:bCs/>
              </w:rPr>
              <w:t>)</w:t>
            </w:r>
          </w:p>
          <w:p w:rsidR="000A0D5F" w:rsidRDefault="000A0D5F" w:rsidP="0032123E">
            <w:pPr>
              <w:jc w:val="center"/>
              <w:rPr>
                <w:rFonts w:ascii="Comic Sans MS" w:hAnsi="Comic Sans MS" w:cstheme="minorHAnsi"/>
                <w:bCs/>
              </w:rPr>
            </w:pPr>
            <w:r>
              <w:rPr>
                <w:rFonts w:ascii="Comic Sans MS" w:hAnsi="Comic Sans MS" w:cstheme="minorHAnsi"/>
                <w:bCs/>
              </w:rPr>
              <w:t xml:space="preserve">Gymnastics </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Travelling on hands and feet</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Balance on small body parts</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Create a sequence of gymnastic actions</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Develop ways of rolling</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Jumping and landing</w:t>
            </w:r>
          </w:p>
          <w:p w:rsidR="000A0D5F" w:rsidRPr="000A0D5F" w:rsidRDefault="000A0D5F" w:rsidP="0032123E">
            <w:pPr>
              <w:jc w:val="center"/>
              <w:rPr>
                <w:rFonts w:ascii="Comic Sans MS" w:hAnsi="Comic Sans MS" w:cstheme="minorHAnsi"/>
                <w:bCs/>
              </w:rPr>
            </w:pPr>
            <w:r w:rsidRPr="000A0D5F">
              <w:rPr>
                <w:rFonts w:ascii="Comic Sans MS" w:hAnsi="Comic Sans MS" w:cstheme="minorHAnsi"/>
                <w:bCs/>
                <w:i/>
                <w:sz w:val="18"/>
                <w:szCs w:val="18"/>
              </w:rPr>
              <w:t>Evaluate and recognise their own success</w:t>
            </w:r>
          </w:p>
        </w:tc>
        <w:tc>
          <w:tcPr>
            <w:tcW w:w="5225" w:type="dxa"/>
          </w:tcPr>
          <w:p w:rsidR="00352113" w:rsidRDefault="00352113" w:rsidP="0021385B">
            <w:pPr>
              <w:jc w:val="center"/>
              <w:rPr>
                <w:rFonts w:ascii="Comic Sans MS" w:hAnsi="Comic Sans MS"/>
                <w:u w:val="single"/>
              </w:rPr>
            </w:pPr>
            <w:r w:rsidRPr="0021385B">
              <w:rPr>
                <w:rFonts w:ascii="Comic Sans MS" w:hAnsi="Comic Sans MS"/>
                <w:u w:val="single"/>
              </w:rPr>
              <w:t>DT</w:t>
            </w:r>
            <w:r w:rsidR="0021385B">
              <w:rPr>
                <w:rFonts w:ascii="Comic Sans MS" w:hAnsi="Comic Sans MS"/>
                <w:u w:val="single"/>
              </w:rPr>
              <w:t xml:space="preserve"> or </w:t>
            </w:r>
            <w:r w:rsidRPr="0021385B">
              <w:rPr>
                <w:rFonts w:ascii="Comic Sans MS" w:hAnsi="Comic Sans MS"/>
                <w:u w:val="single"/>
              </w:rPr>
              <w:t>Art</w:t>
            </w:r>
          </w:p>
          <w:p w:rsidR="00775994" w:rsidRPr="00B65F55" w:rsidRDefault="00775994" w:rsidP="00B65F55">
            <w:pPr>
              <w:jc w:val="center"/>
              <w:rPr>
                <w:rFonts w:ascii="Comic Sans MS" w:hAnsi="Comic Sans MS"/>
                <w:i/>
                <w:sz w:val="18"/>
                <w:szCs w:val="18"/>
              </w:rPr>
            </w:pPr>
            <w:r w:rsidRPr="00B65F55">
              <w:rPr>
                <w:rFonts w:ascii="Comic Sans MS" w:hAnsi="Comic Sans MS"/>
                <w:i/>
                <w:sz w:val="18"/>
                <w:szCs w:val="18"/>
              </w:rPr>
              <w:t>This half term is the DT unit food. We will be designing a healthy sandwich for a teacher’s lunchbox. We will look at a selection of empty lunchtime packaging and design a questionnaire for what they would like. Look at the eat</w:t>
            </w:r>
            <w:r w:rsidR="0025060C">
              <w:rPr>
                <w:rFonts w:ascii="Comic Sans MS" w:hAnsi="Comic Sans MS"/>
                <w:i/>
                <w:sz w:val="18"/>
                <w:szCs w:val="18"/>
              </w:rPr>
              <w:t xml:space="preserve"> </w:t>
            </w:r>
            <w:r w:rsidRPr="00B65F55">
              <w:rPr>
                <w:rFonts w:ascii="Comic Sans MS" w:hAnsi="Comic Sans MS"/>
                <w:i/>
                <w:sz w:val="18"/>
                <w:szCs w:val="18"/>
              </w:rPr>
              <w:t>well plate for guidance. Evaluate tastes/textures of different breads and sandwich spreads and vegetables.</w:t>
            </w:r>
            <w:r w:rsidR="00B65F55" w:rsidRPr="00B65F55">
              <w:rPr>
                <w:rFonts w:ascii="Comic Sans MS" w:hAnsi="Comic Sans MS"/>
                <w:i/>
                <w:sz w:val="18"/>
                <w:szCs w:val="18"/>
              </w:rPr>
              <w:t xml:space="preserve"> Develop skills of cutting, spreading and grating. Evaluate product and ask teacher’s to taste.</w:t>
            </w:r>
          </w:p>
        </w:tc>
      </w:tr>
      <w:tr w:rsidR="00352113" w:rsidRPr="00352113" w:rsidTr="009A34EB">
        <w:trPr>
          <w:trHeight w:val="1313"/>
        </w:trPr>
        <w:tc>
          <w:tcPr>
            <w:tcW w:w="5224" w:type="dxa"/>
          </w:tcPr>
          <w:p w:rsidR="009A34EB" w:rsidRDefault="00352113" w:rsidP="00352113">
            <w:pPr>
              <w:jc w:val="center"/>
              <w:rPr>
                <w:rFonts w:ascii="Comic Sans MS" w:hAnsi="Comic Sans MS"/>
                <w:u w:val="single"/>
              </w:rPr>
            </w:pPr>
            <w:r w:rsidRPr="0021385B">
              <w:rPr>
                <w:rFonts w:ascii="Comic Sans MS" w:hAnsi="Comic Sans MS"/>
                <w:u w:val="single"/>
              </w:rPr>
              <w:t>PSHE</w:t>
            </w:r>
            <w:r w:rsidR="00BF3D9B">
              <w:rPr>
                <w:rFonts w:ascii="Comic Sans MS" w:hAnsi="Comic Sans MS"/>
                <w:u w:val="single"/>
              </w:rPr>
              <w:t xml:space="preserve"> </w:t>
            </w:r>
          </w:p>
          <w:p w:rsidR="00352113" w:rsidRPr="009A34EB" w:rsidRDefault="00BF3D9B" w:rsidP="00352113">
            <w:pPr>
              <w:jc w:val="center"/>
              <w:rPr>
                <w:rFonts w:ascii="Comic Sans MS" w:hAnsi="Comic Sans MS"/>
              </w:rPr>
            </w:pPr>
            <w:r w:rsidRPr="009A34EB">
              <w:rPr>
                <w:rFonts w:ascii="Comic Sans MS" w:hAnsi="Comic Sans MS"/>
              </w:rPr>
              <w:t>(Mrs Feeney)</w:t>
            </w:r>
          </w:p>
          <w:p w:rsidR="00352113" w:rsidRPr="00352113" w:rsidRDefault="00352113" w:rsidP="00AA7735">
            <w:pPr>
              <w:rPr>
                <w:rFonts w:ascii="Comic Sans MS" w:hAnsi="Comic Sans MS"/>
              </w:rPr>
            </w:pPr>
          </w:p>
        </w:tc>
        <w:tc>
          <w:tcPr>
            <w:tcW w:w="5225" w:type="dxa"/>
          </w:tcPr>
          <w:p w:rsidR="009A34EB" w:rsidRDefault="00352113" w:rsidP="00352113">
            <w:pPr>
              <w:jc w:val="center"/>
              <w:rPr>
                <w:rFonts w:ascii="Comic Sans MS" w:hAnsi="Comic Sans MS"/>
                <w:u w:val="single"/>
              </w:rPr>
            </w:pPr>
            <w:r w:rsidRPr="0021385B">
              <w:rPr>
                <w:rFonts w:ascii="Comic Sans MS" w:hAnsi="Comic Sans MS"/>
                <w:u w:val="single"/>
              </w:rPr>
              <w:t>Music</w:t>
            </w:r>
          </w:p>
          <w:p w:rsidR="00352113" w:rsidRPr="009A34EB" w:rsidRDefault="00BF3D9B" w:rsidP="00352113">
            <w:pPr>
              <w:jc w:val="center"/>
              <w:rPr>
                <w:rFonts w:ascii="Comic Sans MS" w:hAnsi="Comic Sans MS"/>
              </w:rPr>
            </w:pPr>
            <w:r w:rsidRPr="009A34EB">
              <w:rPr>
                <w:rFonts w:ascii="Comic Sans MS" w:hAnsi="Comic Sans MS"/>
              </w:rPr>
              <w:t xml:space="preserve"> (Mrs Feeney)</w:t>
            </w:r>
          </w:p>
        </w:tc>
        <w:tc>
          <w:tcPr>
            <w:tcW w:w="5225" w:type="dxa"/>
          </w:tcPr>
          <w:p w:rsidR="00352113" w:rsidRPr="0021385B" w:rsidRDefault="00352113" w:rsidP="00352113">
            <w:pPr>
              <w:jc w:val="center"/>
              <w:rPr>
                <w:rFonts w:ascii="Comic Sans MS" w:hAnsi="Comic Sans MS"/>
                <w:u w:val="single"/>
              </w:rPr>
            </w:pPr>
            <w:r w:rsidRPr="0021385B">
              <w:rPr>
                <w:rFonts w:ascii="Comic Sans MS" w:hAnsi="Comic Sans MS"/>
                <w:u w:val="single"/>
              </w:rPr>
              <w:t>Anything else?</w:t>
            </w:r>
          </w:p>
          <w:p w:rsidR="0021385B" w:rsidRPr="009A34EB" w:rsidRDefault="009A34EB" w:rsidP="009A34EB">
            <w:pPr>
              <w:pStyle w:val="ListParagraph"/>
              <w:numPr>
                <w:ilvl w:val="0"/>
                <w:numId w:val="2"/>
              </w:numPr>
              <w:spacing w:after="0" w:line="240" w:lineRule="auto"/>
              <w:rPr>
                <w:rFonts w:ascii="Comic Sans MS" w:hAnsi="Comic Sans MS"/>
                <w:sz w:val="16"/>
                <w:szCs w:val="16"/>
              </w:rPr>
            </w:pPr>
            <w:r w:rsidRPr="009A34EB">
              <w:rPr>
                <w:rFonts w:ascii="Comic Sans MS" w:hAnsi="Comic Sans MS"/>
                <w:sz w:val="16"/>
                <w:szCs w:val="16"/>
              </w:rPr>
              <w:t>PE days: Monday and Thursday</w:t>
            </w:r>
          </w:p>
          <w:p w:rsidR="009A34EB" w:rsidRPr="009A34EB" w:rsidRDefault="009A34EB" w:rsidP="009A34EB">
            <w:pPr>
              <w:pStyle w:val="ListParagraph"/>
              <w:numPr>
                <w:ilvl w:val="0"/>
                <w:numId w:val="2"/>
              </w:numPr>
              <w:spacing w:after="0" w:line="240" w:lineRule="auto"/>
              <w:rPr>
                <w:rFonts w:ascii="Comic Sans MS" w:hAnsi="Comic Sans MS"/>
              </w:rPr>
            </w:pPr>
            <w:r w:rsidRPr="009A34EB">
              <w:rPr>
                <w:rFonts w:ascii="Comic Sans MS" w:hAnsi="Comic Sans MS"/>
                <w:sz w:val="16"/>
                <w:szCs w:val="16"/>
              </w:rPr>
              <w:t>Homework: Wednesday for the following Monday</w:t>
            </w:r>
            <w:r>
              <w:rPr>
                <w:rFonts w:ascii="Comic Sans MS" w:hAnsi="Comic Sans MS"/>
                <w:sz w:val="16"/>
                <w:szCs w:val="16"/>
              </w:rPr>
              <w:t xml:space="preserve"> and DAILY reading.</w:t>
            </w:r>
          </w:p>
          <w:p w:rsidR="009A34EB" w:rsidRPr="009A34EB" w:rsidRDefault="009A34EB" w:rsidP="009A34EB">
            <w:pPr>
              <w:pStyle w:val="ListParagraph"/>
              <w:numPr>
                <w:ilvl w:val="0"/>
                <w:numId w:val="2"/>
              </w:numPr>
              <w:spacing w:after="0" w:line="240" w:lineRule="auto"/>
              <w:rPr>
                <w:rFonts w:ascii="Comic Sans MS" w:hAnsi="Comic Sans MS"/>
              </w:rPr>
            </w:pPr>
            <w:r>
              <w:rPr>
                <w:rFonts w:ascii="Comic Sans MS" w:hAnsi="Comic Sans MS"/>
                <w:sz w:val="16"/>
                <w:szCs w:val="16"/>
              </w:rPr>
              <w:t>Library: Friday</w:t>
            </w:r>
          </w:p>
        </w:tc>
      </w:tr>
    </w:tbl>
    <w:p w:rsidR="00352113" w:rsidRDefault="00352113"/>
    <w:sectPr w:rsidR="00352113" w:rsidSect="0035211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089"/>
    <w:multiLevelType w:val="hybridMultilevel"/>
    <w:tmpl w:val="97B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2002F5"/>
    <w:multiLevelType w:val="hybridMultilevel"/>
    <w:tmpl w:val="1D8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2113"/>
    <w:rsid w:val="000A0D5F"/>
    <w:rsid w:val="0021385B"/>
    <w:rsid w:val="0025060C"/>
    <w:rsid w:val="0032123E"/>
    <w:rsid w:val="0034069C"/>
    <w:rsid w:val="00352113"/>
    <w:rsid w:val="003C745B"/>
    <w:rsid w:val="00455167"/>
    <w:rsid w:val="00475D54"/>
    <w:rsid w:val="004C3CC5"/>
    <w:rsid w:val="005D6D82"/>
    <w:rsid w:val="005E339D"/>
    <w:rsid w:val="006E6278"/>
    <w:rsid w:val="00775994"/>
    <w:rsid w:val="009A34EB"/>
    <w:rsid w:val="00AA7735"/>
    <w:rsid w:val="00B656EF"/>
    <w:rsid w:val="00B65F55"/>
    <w:rsid w:val="00BF3D9B"/>
    <w:rsid w:val="00DF1630"/>
    <w:rsid w:val="00E1224E"/>
    <w:rsid w:val="00EE0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Longridge CE Primary School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2018-09-02T14:28:00Z</dcterms:created>
  <dcterms:modified xsi:type="dcterms:W3CDTF">2018-09-02T14:28:00Z</dcterms:modified>
</cp:coreProperties>
</file>